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86B" w:rsidRPr="008766F5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766F5">
        <w:rPr>
          <w:rFonts w:ascii="Times New Roman" w:hAnsi="Times New Roman" w:cs="Times New Roman"/>
          <w:b/>
          <w:sz w:val="24"/>
          <w:szCs w:val="24"/>
        </w:rPr>
        <w:t>ИЗМЕНЕНИЯ В ПРОЕКТНУЮ ДЕКЛАРАЦИЮ</w:t>
      </w:r>
    </w:p>
    <w:p w:rsidR="0088186B" w:rsidRPr="008766F5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86B" w:rsidRPr="008766F5" w:rsidRDefault="0088186B" w:rsidP="0088186B">
      <w:pPr>
        <w:jc w:val="center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b/>
          <w:sz w:val="24"/>
          <w:szCs w:val="24"/>
        </w:rPr>
        <w:t xml:space="preserve">НА РЕКОНСТРУКЦИЮ ОБЪЕКТА </w:t>
      </w:r>
      <w:r w:rsidR="00944494" w:rsidRPr="008766F5">
        <w:rPr>
          <w:rFonts w:ascii="Times New Roman" w:hAnsi="Times New Roman" w:cs="Times New Roman"/>
          <w:b/>
          <w:sz w:val="24"/>
          <w:szCs w:val="24"/>
        </w:rPr>
        <w:t>НЕЗАВЕРШЕННОГО СТРОИТЕЛЬСТВА</w:t>
      </w:r>
      <w:r w:rsidR="00944494" w:rsidRPr="008766F5">
        <w:rPr>
          <w:rFonts w:ascii="Times New Roman" w:hAnsi="Times New Roman" w:cs="Times New Roman"/>
          <w:b/>
          <w:sz w:val="24"/>
          <w:szCs w:val="24"/>
        </w:rPr>
        <w:br/>
      </w:r>
      <w:r w:rsidRPr="008766F5">
        <w:rPr>
          <w:rFonts w:ascii="Times New Roman" w:hAnsi="Times New Roman" w:cs="Times New Roman"/>
          <w:b/>
          <w:sz w:val="24"/>
          <w:szCs w:val="24"/>
        </w:rPr>
        <w:t>ПОД ЖИЛОЕ ЗДАНИЕ СО ВСТ</w:t>
      </w:r>
      <w:r w:rsidR="00944494" w:rsidRPr="008766F5">
        <w:rPr>
          <w:rFonts w:ascii="Times New Roman" w:hAnsi="Times New Roman" w:cs="Times New Roman"/>
          <w:b/>
          <w:sz w:val="24"/>
          <w:szCs w:val="24"/>
        </w:rPr>
        <w:t>РОЕННЫМИ НЕЖИЛЫМИ ПОМЕЩЕНИЯМИ</w:t>
      </w:r>
      <w:r w:rsidR="00944494" w:rsidRPr="008766F5">
        <w:rPr>
          <w:rFonts w:ascii="Times New Roman" w:hAnsi="Times New Roman" w:cs="Times New Roman"/>
          <w:b/>
          <w:sz w:val="24"/>
          <w:szCs w:val="24"/>
        </w:rPr>
        <w:br/>
      </w:r>
      <w:r w:rsidRPr="008766F5">
        <w:rPr>
          <w:rFonts w:ascii="Times New Roman" w:hAnsi="Times New Roman" w:cs="Times New Roman"/>
          <w:b/>
          <w:sz w:val="24"/>
          <w:szCs w:val="24"/>
        </w:rPr>
        <w:t>ПО АДРЕСУ: Г. КРАСНОЯРСК, УЛ. ЭНЕРГЕТИКОВ, 73А</w:t>
      </w:r>
    </w:p>
    <w:p w:rsidR="0088186B" w:rsidRPr="008766F5" w:rsidRDefault="0088186B" w:rsidP="00CA15B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>город Красноярск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484218" w:rsidRPr="008766F5">
        <w:rPr>
          <w:rFonts w:ascii="Times New Roman" w:hAnsi="Times New Roman" w:cs="Times New Roman"/>
          <w:sz w:val="24"/>
          <w:szCs w:val="24"/>
        </w:rPr>
        <w:t xml:space="preserve">  </w:t>
      </w:r>
      <w:r w:rsidRPr="008766F5">
        <w:rPr>
          <w:rFonts w:ascii="Times New Roman" w:hAnsi="Times New Roman" w:cs="Times New Roman"/>
          <w:sz w:val="24"/>
          <w:szCs w:val="24"/>
        </w:rPr>
        <w:t xml:space="preserve">    </w:t>
      </w:r>
      <w:r w:rsidR="00F8262C" w:rsidRPr="008766F5">
        <w:rPr>
          <w:rFonts w:ascii="Times New Roman" w:hAnsi="Times New Roman" w:cs="Times New Roman"/>
          <w:sz w:val="24"/>
          <w:szCs w:val="24"/>
        </w:rPr>
        <w:t>5 февраля</w:t>
      </w:r>
      <w:r w:rsidRPr="008766F5">
        <w:rPr>
          <w:rFonts w:ascii="Times New Roman" w:hAnsi="Times New Roman" w:cs="Times New Roman"/>
          <w:sz w:val="24"/>
          <w:szCs w:val="24"/>
        </w:rPr>
        <w:t xml:space="preserve"> 201</w:t>
      </w:r>
      <w:r w:rsidR="00F8262C" w:rsidRPr="008766F5">
        <w:rPr>
          <w:rFonts w:ascii="Times New Roman" w:hAnsi="Times New Roman" w:cs="Times New Roman"/>
          <w:sz w:val="24"/>
          <w:szCs w:val="24"/>
        </w:rPr>
        <w:t>6</w:t>
      </w:r>
      <w:r w:rsidRPr="008766F5">
        <w:rPr>
          <w:rFonts w:ascii="Times New Roman" w:hAnsi="Times New Roman" w:cs="Times New Roman"/>
          <w:sz w:val="24"/>
          <w:szCs w:val="24"/>
        </w:rPr>
        <w:t>г.</w:t>
      </w:r>
    </w:p>
    <w:p w:rsidR="0088186B" w:rsidRPr="00D8710D" w:rsidRDefault="0088186B" w:rsidP="0088186B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«ДОМЕТ» публикует настоящее Изменение к Проектной декларации в соответствии, в порядке и </w:t>
      </w:r>
      <w:proofErr w:type="gramStart"/>
      <w:r w:rsidRPr="008766F5">
        <w:rPr>
          <w:rFonts w:ascii="Times New Roman" w:hAnsi="Times New Roman" w:cs="Times New Roman"/>
          <w:sz w:val="24"/>
          <w:szCs w:val="24"/>
        </w:rPr>
        <w:t>на условиях</w:t>
      </w:r>
      <w:proofErr w:type="gramEnd"/>
      <w:r w:rsidRPr="008766F5">
        <w:rPr>
          <w:rFonts w:ascii="Times New Roman" w:hAnsi="Times New Roman" w:cs="Times New Roman"/>
          <w:sz w:val="24"/>
          <w:szCs w:val="24"/>
        </w:rPr>
        <w:t xml:space="preserve"> предусмотренных статьями 2, 3, 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88186B" w:rsidRPr="008766F5" w:rsidRDefault="00F5327A" w:rsidP="00012E42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1. </w:t>
      </w:r>
      <w:r w:rsidR="0088186B" w:rsidRPr="008766F5">
        <w:rPr>
          <w:rFonts w:ascii="Times New Roman" w:hAnsi="Times New Roman" w:cs="Times New Roman"/>
          <w:sz w:val="24"/>
          <w:szCs w:val="24"/>
        </w:rPr>
        <w:t>Изложить п.</w:t>
      </w:r>
      <w:r w:rsidR="00F8262C" w:rsidRPr="008766F5">
        <w:rPr>
          <w:rFonts w:ascii="Times New Roman" w:hAnsi="Times New Roman" w:cs="Times New Roman"/>
          <w:sz w:val="24"/>
          <w:szCs w:val="24"/>
        </w:rPr>
        <w:t xml:space="preserve"> </w:t>
      </w:r>
      <w:r w:rsidR="0088186B" w:rsidRPr="008766F5">
        <w:rPr>
          <w:rFonts w:ascii="Times New Roman" w:hAnsi="Times New Roman" w:cs="Times New Roman"/>
          <w:sz w:val="24"/>
          <w:szCs w:val="24"/>
        </w:rPr>
        <w:t>2.1. раздела 2, в следующей редакции:</w:t>
      </w:r>
    </w:p>
    <w:tbl>
      <w:tblPr>
        <w:tblW w:w="10099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011"/>
        <w:gridCol w:w="6237"/>
      </w:tblGrid>
      <w:tr w:rsidR="0088186B" w:rsidRPr="008766F5" w:rsidTr="00F8262C">
        <w:trPr>
          <w:trHeight w:val="751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Цель проекта строительства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Реконструкция объекта незавершенного строительства под жилое здание со встроенными нежилыми помещениями.</w:t>
            </w:r>
          </w:p>
        </w:tc>
      </w:tr>
      <w:tr w:rsidR="0088186B" w:rsidRPr="008766F5" w:rsidTr="00F8262C">
        <w:trPr>
          <w:trHeight w:val="1103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186B" w:rsidRPr="008766F5" w:rsidRDefault="0088186B" w:rsidP="00837C4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проекта строительства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Реконструкция объекта реализуется в 1этап:</w:t>
            </w:r>
          </w:p>
          <w:p w:rsidR="0088186B" w:rsidRPr="008766F5" w:rsidRDefault="0088186B" w:rsidP="00837C48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Начало – дата подписания разрешения на строительство – 28 октября 2013г.</w:t>
            </w:r>
          </w:p>
          <w:p w:rsidR="0088186B" w:rsidRPr="008766F5" w:rsidRDefault="0088186B" w:rsidP="00012E42">
            <w:pPr>
              <w:autoSpaceDE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– 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>28 июля 2016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88186B" w:rsidRPr="008766F5" w:rsidTr="00F8262C">
        <w:trPr>
          <w:trHeight w:val="726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186B" w:rsidRPr="008766F5" w:rsidRDefault="0088186B" w:rsidP="00837C48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государственной экспертизы проектной документации 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Положительное заключение Негосударственной экспертизы </w:t>
            </w:r>
          </w:p>
          <w:p w:rsidR="0088186B" w:rsidRPr="008766F5" w:rsidRDefault="0088186B" w:rsidP="00F8262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F8262C" w:rsidRPr="008766F5">
              <w:rPr>
                <w:rFonts w:ascii="Times New Roman" w:hAnsi="Times New Roman" w:cs="Times New Roman"/>
                <w:sz w:val="24"/>
                <w:szCs w:val="24"/>
              </w:rPr>
              <w:t>2-1-1-0074-15 от 28.12.15г.</w:t>
            </w:r>
          </w:p>
        </w:tc>
      </w:tr>
    </w:tbl>
    <w:p w:rsidR="0088186B" w:rsidRPr="008766F5" w:rsidRDefault="0088186B" w:rsidP="0088186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88186B" w:rsidRPr="008766F5" w:rsidRDefault="00012E42" w:rsidP="00012E42">
      <w:pPr>
        <w:pStyle w:val="a3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2. </w:t>
      </w:r>
      <w:r w:rsidR="0088186B" w:rsidRPr="008766F5">
        <w:rPr>
          <w:rFonts w:ascii="Times New Roman" w:hAnsi="Times New Roman" w:cs="Times New Roman"/>
          <w:sz w:val="24"/>
          <w:szCs w:val="24"/>
        </w:rPr>
        <w:t>Изложить п.2.2. раздела 2, в следующей редакции:</w:t>
      </w:r>
    </w:p>
    <w:tbl>
      <w:tblPr>
        <w:tblW w:w="10099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556"/>
        <w:gridCol w:w="5692"/>
      </w:tblGrid>
      <w:tr w:rsidR="0088186B" w:rsidRPr="008766F5" w:rsidTr="00F8262C">
        <w:trPr>
          <w:trHeight w:val="6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8766F5" w:rsidRDefault="0088186B" w:rsidP="00837C48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Разрешение на строительство (реконструкцию)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8766F5" w:rsidRDefault="0088186B" w:rsidP="001D197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№ RU24308000-3178-ек от 28 октября 2013года, продлено 07.07.2014 г. со сроком действия до 28 июня 2015 года,</w:t>
            </w:r>
            <w:r w:rsidR="00A03B26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03.07.2015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03B26" w:rsidRPr="008766F5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до 31.12.2015 г.,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08.12.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28.07.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8766F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, внесены изменения в технико-экономические показатели 02.02.2016 г.,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выдано Администрацией города Красноярска</w:t>
            </w:r>
          </w:p>
        </w:tc>
      </w:tr>
    </w:tbl>
    <w:p w:rsidR="00F5327A" w:rsidRPr="008766F5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1D197F" w:rsidRPr="008766F5" w:rsidRDefault="001D197F" w:rsidP="00A31C69">
      <w:pPr>
        <w:pStyle w:val="a3"/>
        <w:keepNext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lastRenderedPageBreak/>
        <w:t xml:space="preserve">3. Изложить </w:t>
      </w:r>
      <w:proofErr w:type="gramStart"/>
      <w:r w:rsidRPr="008766F5">
        <w:rPr>
          <w:rFonts w:ascii="Times New Roman" w:hAnsi="Times New Roman" w:cs="Times New Roman"/>
          <w:sz w:val="24"/>
          <w:szCs w:val="24"/>
        </w:rPr>
        <w:t>п.2.3</w:t>
      </w:r>
      <w:r w:rsidR="00540F33" w:rsidRPr="008766F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540F33" w:rsidRPr="008766F5">
        <w:rPr>
          <w:rFonts w:ascii="Times New Roman" w:hAnsi="Times New Roman" w:cs="Times New Roman"/>
          <w:sz w:val="24"/>
          <w:szCs w:val="24"/>
        </w:rPr>
        <w:t xml:space="preserve"> п.2.4, </w:t>
      </w:r>
      <w:r w:rsidRPr="008766F5">
        <w:rPr>
          <w:rFonts w:ascii="Times New Roman" w:hAnsi="Times New Roman" w:cs="Times New Roman"/>
          <w:sz w:val="24"/>
          <w:szCs w:val="24"/>
        </w:rPr>
        <w:t>п.2.5.</w:t>
      </w:r>
      <w:r w:rsidR="00D94792" w:rsidRPr="008766F5">
        <w:rPr>
          <w:rFonts w:ascii="Times New Roman" w:hAnsi="Times New Roman" w:cs="Times New Roman"/>
          <w:sz w:val="24"/>
          <w:szCs w:val="24"/>
        </w:rPr>
        <w:t>, п.2.6., п. 2.7.</w:t>
      </w:r>
      <w:r w:rsidRPr="008766F5">
        <w:rPr>
          <w:rFonts w:ascii="Times New Roman" w:hAnsi="Times New Roman" w:cs="Times New Roman"/>
          <w:sz w:val="24"/>
          <w:szCs w:val="24"/>
        </w:rPr>
        <w:t xml:space="preserve"> раздела 2, в следующей редакции:</w:t>
      </w:r>
    </w:p>
    <w:p w:rsidR="001D197F" w:rsidRPr="008766F5" w:rsidRDefault="001D197F" w:rsidP="00A31C69">
      <w:pPr>
        <w:keepNext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5529"/>
      </w:tblGrid>
      <w:tr w:rsidR="001D197F" w:rsidRPr="008766F5" w:rsidTr="00D8710D">
        <w:trPr>
          <w:trHeight w:val="111"/>
          <w:tblHeader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8766F5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1D197F" w:rsidRPr="008766F5" w:rsidRDefault="001D197F" w:rsidP="00837C48">
            <w:pPr>
              <w:pStyle w:val="1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8766F5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97F" w:rsidRPr="008766F5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1D197F" w:rsidRPr="008766F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предоставленный для строительства жилых домов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относится к землям, государственная собственность на которые не разграничена, арендодателем земельного участка является Департамент муниципального имущества и земельных отношений администрации города Красноярска. Категория земель: земли населенных пунктов, кадастровый номер 24:50:05 00 258:96, площадью 8 183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., расположенного по адресу: г. Красноярск, Ленинский район, ул. Энергетиков, 73 «А», принадлежит застройщику на праве аренды сроком до 30.01.2023 г. на основании распоряжения Администрации города Красноярска от 31.01.2013 г. № 251-недв и договора аренды земельного участка № 1828 от 07.03.2013 г., заключенного между застройщиком и Департаментом муниципального имущества и земельных отношений администрации города Красноярска,  зарегистрированного Управлением Федеральной службы государственной регистрации, кадастра и картографии по Красноярскому Краю 23 июля 2013 г., номер регистрации 24-24-01/152/2013-477. </w:t>
            </w:r>
          </w:p>
        </w:tc>
      </w:tr>
      <w:tr w:rsidR="001D197F" w:rsidRPr="008766F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8766F5" w:rsidRDefault="001D197F" w:rsidP="00837C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Элементы благоустройства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97F" w:rsidRPr="008766F5" w:rsidRDefault="001D197F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- целостное ограждение по периметру прилегающей территории; </w:t>
            </w:r>
          </w:p>
          <w:p w:rsidR="001D197F" w:rsidRPr="008766F5" w:rsidRDefault="001D197F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 детская игровая площадка;</w:t>
            </w:r>
          </w:p>
          <w:p w:rsidR="001D197F" w:rsidRPr="008766F5" w:rsidRDefault="001D197F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- спортивная площадка; </w:t>
            </w:r>
          </w:p>
          <w:p w:rsidR="001D197F" w:rsidRPr="008766F5" w:rsidRDefault="001D197F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 газоны и клумбы;</w:t>
            </w:r>
          </w:p>
          <w:p w:rsidR="001D197F" w:rsidRPr="008766F5" w:rsidRDefault="00837C48" w:rsidP="00944494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 парковка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для автомобилей на </w:t>
            </w:r>
            <w:r w:rsidR="00944494" w:rsidRPr="008766F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машиномест</w:t>
            </w:r>
            <w:proofErr w:type="spellEnd"/>
            <w:r w:rsidR="001D197F" w:rsidRPr="008766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0F33" w:rsidRPr="008766F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строящегося  жилого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8766F5" w:rsidRDefault="00540F33" w:rsidP="00837C48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Реконструируемый объект расположен по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адресу:   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г. Красноярск, ул. Энергетиков, д.73 А</w:t>
            </w:r>
          </w:p>
        </w:tc>
      </w:tr>
      <w:tr w:rsidR="00540F33" w:rsidRPr="008766F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Описание строящегося жилого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Объект представляет собой 5-этажное строение Г-образной формы в плане, с габаритными размерами в осях - 25,06м х 42,0м. При оформлении фасадов используются композиционные приемы в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 горизонтальных цветовых членений и ритмичного выделения оконных проемов.</w:t>
            </w:r>
          </w:p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Квартиры располагаются с 1 по 5 этаж. </w:t>
            </w:r>
          </w:p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квартир – 151. </w:t>
            </w:r>
          </w:p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комнатах запроектированы кухни-ниши площадью от 2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,5 до 5 м²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. Кухни и кухни-ниши оборудованы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раковиной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; совмещенные санузлы - душевым поддоном, умывальником, унитазом со смывным бачком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>с подводк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ой для стиральной машины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5266" w:rsidRPr="008766F5" w:rsidRDefault="008E5266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помещениях пятого этажа в осях 1-8/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А-Г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запроектированы инсоляционные фонари на кровле здания.</w:t>
            </w:r>
          </w:p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Строительные, отделочные материалы, выделяющие вредные химические вещества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здании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не используются.</w:t>
            </w:r>
          </w:p>
          <w:p w:rsidR="0038329E" w:rsidRPr="008766F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здании предусмотрено хозяйственно-питьевое и горячее водоснабжение, отопление, вентиляция, а также канализация и водосток.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здании запроектированы две лестничные клетки, расположенные с двух концов коридора.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Здание оборудовано двумя пассажирскими лифтами, расположенными в осях 6-7; В-Д. Лифт марки ПП-0621Щ - грузоподъемностью 630 кг предназначен для транспортирования инвалидов и перевозки носилок (кабина имеет габаритные размеры 2140х1140, Н=2100мм), лифт марки ПП- 0471Щ - грузоподъемность 400 кг.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Проектом  предусмотрены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 2  входа  с  торцов  здания,  один  из  них  оборудуется   пандусом.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Ширина пандуса в свету 1,5 м. Ориентация входов - северо-западная.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Часть здания имеет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тех.подполье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на отметках -1.550, -2.350 и подземный этаж на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766F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-4.900.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Встроенные нежилые помещения на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. -4,900, запроектированы как частный досуговый зал со вспомогательными помещениями для игры в бильярд, не предназначенный непосредственно для жильцов и не используемый как спортивное заведение для общественного пользования детского либо взрослого населения. Встроенные нежилые помещения включают в себя:</w:t>
            </w:r>
          </w:p>
          <w:p w:rsidR="0038329E" w:rsidRPr="008766F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венткамеру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, зал для бильярда на 4 занимающихся, женский гардероб, мужской гардероб, санузел, комнату уборочного инвентаря, помещение для отдыха, коридор, инвентарную, лестничную клетку.</w:t>
            </w:r>
          </w:p>
          <w:p w:rsidR="00A0783E" w:rsidRPr="008766F5" w:rsidRDefault="00A0783E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Колонны, перекрытия – монолитные, железобетонные.</w:t>
            </w:r>
          </w:p>
          <w:p w:rsidR="006910A4" w:rsidRPr="008766F5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межквартирные перегородки из плит гипсовых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двойных производства ООО «Волма» с дополнительными звукоизоляционными слоями: </w:t>
            </w:r>
          </w:p>
          <w:p w:rsidR="006910A4" w:rsidRPr="008766F5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минерал ватные плиты ИЗОВЕР </w:t>
            </w:r>
            <w:proofErr w:type="spellStart"/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Термоком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плотностью 15-17 кг/м3 – толщ. 50мм, </w:t>
            </w:r>
          </w:p>
          <w:p w:rsidR="006910A4" w:rsidRPr="008766F5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вспененный полиэтилен – толщиной 5мм, общей толщиной 80/50/80 мм. </w:t>
            </w:r>
          </w:p>
          <w:p w:rsidR="006910A4" w:rsidRPr="008766F5" w:rsidRDefault="006910A4" w:rsidP="006910A4">
            <w:pPr>
              <w:pStyle w:val="TableParagraph"/>
              <w:ind w:left="560" w:right="36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10A4" w:rsidRPr="008766F5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Внутрикомнатные перегородки из плит гипсовых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80 мм. Перегородки помещений с влажным режимом эксплуатации выполнены из влагостойких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гидрофобизированных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гипсовых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плит толщиной 80 мм.</w:t>
            </w:r>
          </w:p>
          <w:p w:rsidR="00540F33" w:rsidRPr="008766F5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Кровля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малоуклонная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, покрытие наплавляемое двухслойное "</w:t>
            </w:r>
            <w:proofErr w:type="spellStart"/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Биполь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". Организованный водоотвод - внутренний водосток. В проекте предусмотрено ограждение кровли, на перепадах высот установлены стремянки.</w:t>
            </w:r>
            <w:r w:rsidR="006910A4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F33" w:rsidRPr="008766F5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Двери, окна и витражи изготавливаются по индивидуальному заказу, откосы, подоконные доски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поставляются комплектно с окнами фирмой изготовителем. Заполнение оконных проемов из поливинилхлоридного профиля с двухкамерным стеклопакетом. На окнах снаружи организованы водосливные фартуки из оцинкованной стали.</w:t>
            </w:r>
          </w:p>
          <w:p w:rsidR="00540F33" w:rsidRPr="008766F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застройки  -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944494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169,0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0 м².</w:t>
            </w:r>
          </w:p>
          <w:p w:rsidR="00540F33" w:rsidRPr="008766F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Строительный объем здания- 18 848,20</w:t>
            </w:r>
            <w:r w:rsidR="00540F33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8766F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40F33" w:rsidRPr="008766F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-подземная часть 2 052,00</w:t>
            </w:r>
            <w:r w:rsidR="00540F33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8766F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Общая площадь здания- 5 565,30</w:t>
            </w:r>
            <w:r w:rsidR="00540F33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8766F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944494" w:rsidRPr="008766F5">
              <w:rPr>
                <w:rFonts w:ascii="Times New Roman" w:hAnsi="Times New Roman" w:cs="Times New Roman"/>
                <w:sz w:val="24"/>
                <w:szCs w:val="24"/>
              </w:rPr>
              <w:t>щая площадь квартир здания- 3542,60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540F33" w:rsidRPr="008766F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-жилая площадь 2099,70</w:t>
            </w:r>
            <w:r w:rsidR="00540F33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944494" w:rsidRPr="008766F5" w:rsidRDefault="00944494" w:rsidP="0094449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нежилого помещения на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. минус 4,900 (досуговый зал для игры в бильярд) – 345,60 м²</w:t>
            </w:r>
          </w:p>
          <w:p w:rsidR="00944494" w:rsidRPr="008766F5" w:rsidRDefault="00944494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8766F5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Отделка фасадов здания: навесные вентилируемые фасады «</w:t>
            </w:r>
            <w:r w:rsidRPr="008766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OLMA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540F33" w:rsidRPr="008766F5" w:rsidTr="00D8710D">
        <w:trPr>
          <w:trHeight w:val="111"/>
        </w:trPr>
        <w:tc>
          <w:tcPr>
            <w:tcW w:w="84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pStyle w:val="1"/>
              <w:spacing w:after="0" w:line="10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 составе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строящегося  жилого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дома самостоятельных частей (квартир, нежилых помещений)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8766F5" w:rsidRDefault="00540F33" w:rsidP="00540F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Общее количество квартир с кухнями-нишами: 151 шт. Из них: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18,8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19,1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19,6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19,8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20,6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21,3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21,6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- 5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- 8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21,8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- 5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- 13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- 10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22,1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- 7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- 8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- 7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22,6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23,1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23,8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24,1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26,1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26,7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26,9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30,5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32,4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40,3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43,2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43,8 </w:t>
            </w:r>
            <w:proofErr w:type="spellStart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876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8766F5" w:rsidRDefault="00540F33" w:rsidP="00540F33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8766F5" w:rsidRDefault="00540F33" w:rsidP="00A9221E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нежилого помещения на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. минус 4,900 (досуговый зал для игры в бильярд) – 345,60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9221E" w:rsidRPr="008766F5" w:rsidTr="00D8710D">
        <w:trPr>
          <w:trHeight w:val="517"/>
        </w:trPr>
        <w:tc>
          <w:tcPr>
            <w:tcW w:w="8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spacing w:after="0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552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Высота потолков: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2,7 м.</w:t>
            </w:r>
            <w:r w:rsidR="008E5266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на 2- 5 этажах, не менее 2,65 м на 1 этаже.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пола: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линолеум, в санузлах – кафельная напольная плитка.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потолков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: натяжной. 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стен: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бумажные обои, в санузлах – кафельная плитка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в зоне душевых на высоту 2 м, покраска КЧ.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Отделка помещений: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чистовая, с установкой электроприборов (розетки, </w:t>
            </w:r>
            <w:proofErr w:type="gram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выключатели)и</w:t>
            </w:r>
            <w:proofErr w:type="gram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сантехнического оборудования (краны,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водосчетчики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санфаянс</w:t>
            </w:r>
            <w:proofErr w:type="spellEnd"/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) в санузлах и кухонных зонах. 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Двери: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входные (железные), двери в санузел (МДФ).</w:t>
            </w:r>
          </w:p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Отделка лестничных групп и общих коридоров, холлов: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стены</w:t>
            </w:r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>стеклообои</w:t>
            </w:r>
            <w:proofErr w:type="spellEnd"/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с покраской,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подвесной потолок</w:t>
            </w:r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«Армстронг»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, пол в общих коридорах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и на лестничных клетках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– кафельная напольная плитка.</w:t>
            </w:r>
          </w:p>
          <w:p w:rsidR="00A0783E" w:rsidRPr="008766F5" w:rsidRDefault="00A0783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оборудованы пожарной сигнализацией, </w:t>
            </w:r>
            <w:r w:rsidRPr="008766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-антенной, кабелем доступа в сеть Интернет.</w:t>
            </w:r>
          </w:p>
        </w:tc>
      </w:tr>
      <w:tr w:rsidR="00A9221E" w:rsidRPr="008766F5" w:rsidTr="00D8710D">
        <w:trPr>
          <w:trHeight w:val="517"/>
        </w:trPr>
        <w:tc>
          <w:tcPr>
            <w:tcW w:w="8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221E" w:rsidRPr="008766F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792" w:rsidRPr="008766F5" w:rsidTr="00D8710D">
        <w:trPr>
          <w:trHeight w:val="517"/>
        </w:trPr>
        <w:tc>
          <w:tcPr>
            <w:tcW w:w="8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4792" w:rsidRPr="008766F5" w:rsidRDefault="00D94792" w:rsidP="00D8710D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4792" w:rsidRPr="008766F5" w:rsidRDefault="00D94792" w:rsidP="00D9479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Функциональное назначение нежилых помещений в доме, не входящих в состав общего имущества в жилом доме</w:t>
            </w:r>
          </w:p>
        </w:tc>
        <w:tc>
          <w:tcPr>
            <w:tcW w:w="552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94792" w:rsidRPr="008766F5" w:rsidRDefault="00D94792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Для размещения досугового зала для игры в бильярд</w:t>
            </w:r>
          </w:p>
        </w:tc>
      </w:tr>
      <w:tr w:rsidR="00D94792" w:rsidRPr="008766F5" w:rsidTr="00D8710D">
        <w:trPr>
          <w:trHeight w:val="517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792" w:rsidRPr="008766F5" w:rsidRDefault="00D94792" w:rsidP="00D8710D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792" w:rsidRPr="008766F5" w:rsidRDefault="00D94792" w:rsidP="00D9479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Состав общего имущества в жилых домах, которое будет находиться в общей долевой собственности участников долевого строительства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4792" w:rsidRPr="008766F5" w:rsidRDefault="00D94792" w:rsidP="008766F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>Внутренние инженерные коммуникации, помещения общего пользования, в том числе лестничные площадки, лестницы, лифты и лифтовые шахты</w:t>
            </w:r>
            <w:r w:rsidR="008766F5" w:rsidRPr="008766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помещение машинного отделения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, коридоры, </w:t>
            </w:r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подвал на </w:t>
            </w:r>
            <w:proofErr w:type="spellStart"/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="00A0783E" w:rsidRPr="008766F5">
              <w:rPr>
                <w:rFonts w:ascii="Times New Roman" w:hAnsi="Times New Roman" w:cs="Times New Roman"/>
                <w:sz w:val="24"/>
                <w:szCs w:val="24"/>
              </w:rPr>
              <w:t>. – 1,550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имеются инженерные коммуникации, технические и подсобные помещения, ограждающие и несущие конструкции, электрическое, санитарно-техническое и иное оборудование, находящееся в данном комплексе за пределами или внутри помещений и обслуживающее более одного помещения, а также земельный участок, на котором расположен данный объект с элементами озеленения и благоустройства и иные </w:t>
            </w:r>
            <w:r w:rsidRPr="008766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объекты, необходимые для обслуживания и эксплуатации данного комплекса.</w:t>
            </w:r>
          </w:p>
        </w:tc>
      </w:tr>
    </w:tbl>
    <w:p w:rsidR="001D197F" w:rsidRPr="008766F5" w:rsidRDefault="001D197F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88186B" w:rsidRPr="008766F5" w:rsidRDefault="0088186B" w:rsidP="00012E42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Информация, правоустанавливающие документы и отчетность Застройщика, предоставляемые для ознакомления в соответствии с действующим законодательством, а также оригинал Проектной декларации находится в офисе ООО «ДОМЕТ» по адресу: г. </w:t>
      </w:r>
      <w:proofErr w:type="gramStart"/>
      <w:r w:rsidRPr="008766F5">
        <w:rPr>
          <w:rFonts w:ascii="Times New Roman" w:hAnsi="Times New Roman" w:cs="Times New Roman"/>
          <w:sz w:val="24"/>
          <w:szCs w:val="24"/>
        </w:rPr>
        <w:t xml:space="preserve">Красноярск, </w:t>
      </w:r>
      <w:r w:rsidR="00012E42" w:rsidRPr="008766F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12E42" w:rsidRPr="008766F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6F5">
        <w:rPr>
          <w:rFonts w:ascii="Times New Roman" w:hAnsi="Times New Roman" w:cs="Times New Roman"/>
          <w:sz w:val="24"/>
          <w:szCs w:val="24"/>
        </w:rPr>
        <w:t>ул. Перенсона, дом 1, пом. 90,</w:t>
      </w:r>
      <w:r w:rsidR="00547108" w:rsidRPr="008766F5">
        <w:rPr>
          <w:rFonts w:ascii="Times New Roman" w:hAnsi="Times New Roman" w:cs="Times New Roman"/>
          <w:sz w:val="24"/>
          <w:szCs w:val="24"/>
        </w:rPr>
        <w:t xml:space="preserve"> </w:t>
      </w:r>
      <w:r w:rsidRPr="008766F5">
        <w:rPr>
          <w:rFonts w:ascii="Times New Roman" w:hAnsi="Times New Roman" w:cs="Times New Roman"/>
          <w:sz w:val="24"/>
          <w:szCs w:val="24"/>
        </w:rPr>
        <w:t>91.</w:t>
      </w:r>
    </w:p>
    <w:p w:rsidR="0088186B" w:rsidRPr="008766F5" w:rsidRDefault="0088186B" w:rsidP="0088186B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8186B" w:rsidRPr="008766F5" w:rsidRDefault="0088186B" w:rsidP="00012E4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>Генеральный директор ООО «</w:t>
      </w:r>
      <w:proofErr w:type="gramStart"/>
      <w:r w:rsidRPr="008766F5">
        <w:rPr>
          <w:rFonts w:ascii="Times New Roman" w:hAnsi="Times New Roman" w:cs="Times New Roman"/>
          <w:sz w:val="24"/>
          <w:szCs w:val="24"/>
        </w:rPr>
        <w:t>ДОМЕТ»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8766F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</w:t>
      </w:r>
      <w:r w:rsidRPr="008766F5">
        <w:rPr>
          <w:rFonts w:ascii="Times New Roman" w:hAnsi="Times New Roman" w:cs="Times New Roman"/>
          <w:sz w:val="24"/>
          <w:szCs w:val="24"/>
        </w:rPr>
        <w:t xml:space="preserve">          Ю. В. Баринов</w:t>
      </w:r>
    </w:p>
    <w:p w:rsidR="0088186B" w:rsidRPr="008766F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8186B" w:rsidRPr="008766F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8766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М.П.          </w:t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837C48" w:rsidRPr="008766F5" w:rsidRDefault="00837C48">
      <w:pPr>
        <w:rPr>
          <w:rFonts w:ascii="Times New Roman" w:hAnsi="Times New Roman" w:cs="Times New Roman"/>
          <w:sz w:val="24"/>
          <w:szCs w:val="24"/>
        </w:rPr>
      </w:pPr>
    </w:p>
    <w:sectPr w:rsidR="00837C48" w:rsidRPr="008766F5" w:rsidSect="00D8710D">
      <w:pgSz w:w="11906" w:h="16838"/>
      <w:pgMar w:top="1135" w:right="850" w:bottom="993" w:left="993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160A2A"/>
    <w:multiLevelType w:val="hybridMultilevel"/>
    <w:tmpl w:val="8A0A2B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991764"/>
    <w:multiLevelType w:val="hybridMultilevel"/>
    <w:tmpl w:val="52CE0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520EB"/>
    <w:multiLevelType w:val="hybridMultilevel"/>
    <w:tmpl w:val="3A2AD550"/>
    <w:lvl w:ilvl="0" w:tplc="ED185BA6">
      <w:start w:val="3"/>
      <w:numFmt w:val="decimal"/>
      <w:lvlText w:val="%1."/>
      <w:lvlJc w:val="left"/>
      <w:pPr>
        <w:ind w:left="985" w:hanging="425"/>
      </w:pPr>
      <w:rPr>
        <w:rFonts w:ascii="Arial" w:eastAsia="Arial" w:hAnsi="Arial" w:hint="default"/>
        <w:b/>
        <w:bCs/>
        <w:spacing w:val="-2"/>
        <w:w w:val="99"/>
        <w:sz w:val="24"/>
        <w:szCs w:val="24"/>
      </w:rPr>
    </w:lvl>
    <w:lvl w:ilvl="1" w:tplc="425E87D8">
      <w:start w:val="1"/>
      <w:numFmt w:val="decimal"/>
      <w:lvlText w:val="%2)"/>
      <w:lvlJc w:val="left"/>
      <w:pPr>
        <w:ind w:left="560" w:hanging="236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E2822D2A">
      <w:start w:val="1"/>
      <w:numFmt w:val="bullet"/>
      <w:lvlText w:val="•"/>
      <w:lvlJc w:val="left"/>
      <w:pPr>
        <w:ind w:left="2013" w:hanging="236"/>
      </w:pPr>
      <w:rPr>
        <w:rFonts w:hint="default"/>
      </w:rPr>
    </w:lvl>
    <w:lvl w:ilvl="3" w:tplc="1A581DD0">
      <w:start w:val="1"/>
      <w:numFmt w:val="bullet"/>
      <w:lvlText w:val="•"/>
      <w:lvlJc w:val="left"/>
      <w:pPr>
        <w:ind w:left="3047" w:hanging="236"/>
      </w:pPr>
      <w:rPr>
        <w:rFonts w:hint="default"/>
      </w:rPr>
    </w:lvl>
    <w:lvl w:ilvl="4" w:tplc="1BF02FA0">
      <w:start w:val="1"/>
      <w:numFmt w:val="bullet"/>
      <w:lvlText w:val="•"/>
      <w:lvlJc w:val="left"/>
      <w:pPr>
        <w:ind w:left="4080" w:hanging="236"/>
      </w:pPr>
      <w:rPr>
        <w:rFonts w:hint="default"/>
      </w:rPr>
    </w:lvl>
    <w:lvl w:ilvl="5" w:tplc="84DA4816">
      <w:start w:val="1"/>
      <w:numFmt w:val="bullet"/>
      <w:lvlText w:val="•"/>
      <w:lvlJc w:val="left"/>
      <w:pPr>
        <w:ind w:left="5114" w:hanging="236"/>
      </w:pPr>
      <w:rPr>
        <w:rFonts w:hint="default"/>
      </w:rPr>
    </w:lvl>
    <w:lvl w:ilvl="6" w:tplc="DD7C635C">
      <w:start w:val="1"/>
      <w:numFmt w:val="bullet"/>
      <w:lvlText w:val="•"/>
      <w:lvlJc w:val="left"/>
      <w:pPr>
        <w:ind w:left="6147" w:hanging="236"/>
      </w:pPr>
      <w:rPr>
        <w:rFonts w:hint="default"/>
      </w:rPr>
    </w:lvl>
    <w:lvl w:ilvl="7" w:tplc="41FE03E0">
      <w:start w:val="1"/>
      <w:numFmt w:val="bullet"/>
      <w:lvlText w:val="•"/>
      <w:lvlJc w:val="left"/>
      <w:pPr>
        <w:ind w:left="7181" w:hanging="236"/>
      </w:pPr>
      <w:rPr>
        <w:rFonts w:hint="default"/>
      </w:rPr>
    </w:lvl>
    <w:lvl w:ilvl="8" w:tplc="F2F407F2">
      <w:start w:val="1"/>
      <w:numFmt w:val="bullet"/>
      <w:lvlText w:val="•"/>
      <w:lvlJc w:val="left"/>
      <w:pPr>
        <w:ind w:left="8214" w:hanging="236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295"/>
    <w:rsid w:val="00012E42"/>
    <w:rsid w:val="000E085D"/>
    <w:rsid w:val="001D197F"/>
    <w:rsid w:val="00254BEA"/>
    <w:rsid w:val="0038329E"/>
    <w:rsid w:val="003A4F95"/>
    <w:rsid w:val="004148DF"/>
    <w:rsid w:val="00461295"/>
    <w:rsid w:val="00484218"/>
    <w:rsid w:val="00540F33"/>
    <w:rsid w:val="00547108"/>
    <w:rsid w:val="006910A4"/>
    <w:rsid w:val="00837C48"/>
    <w:rsid w:val="008766F5"/>
    <w:rsid w:val="0088186B"/>
    <w:rsid w:val="008E5266"/>
    <w:rsid w:val="00937A00"/>
    <w:rsid w:val="00944494"/>
    <w:rsid w:val="009D2E20"/>
    <w:rsid w:val="00A03B26"/>
    <w:rsid w:val="00A0783E"/>
    <w:rsid w:val="00A31C69"/>
    <w:rsid w:val="00A9221E"/>
    <w:rsid w:val="00CA15B8"/>
    <w:rsid w:val="00D86D05"/>
    <w:rsid w:val="00D8710D"/>
    <w:rsid w:val="00D94792"/>
    <w:rsid w:val="00E5496E"/>
    <w:rsid w:val="00F1020C"/>
    <w:rsid w:val="00F5327A"/>
    <w:rsid w:val="00F730B8"/>
    <w:rsid w:val="00F8262C"/>
    <w:rsid w:val="00FC246A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6F606-CE08-4275-8B6D-DE8B876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  <w:style w:type="paragraph" w:customStyle="1" w:styleId="1">
    <w:name w:val="Абзац списка1"/>
    <w:basedOn w:val="a"/>
    <w:rsid w:val="001D197F"/>
    <w:pPr>
      <w:ind w:left="720"/>
    </w:pPr>
  </w:style>
  <w:style w:type="paragraph" w:customStyle="1" w:styleId="TableParagraph">
    <w:name w:val="Table Paragraph"/>
    <w:basedOn w:val="a"/>
    <w:uiPriority w:val="1"/>
    <w:qFormat/>
    <w:rsid w:val="0038329E"/>
    <w:pPr>
      <w:widowControl w:val="0"/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val="en-US" w:eastAsia="en-US"/>
    </w:rPr>
  </w:style>
  <w:style w:type="character" w:styleId="a4">
    <w:name w:val="annotation reference"/>
    <w:basedOn w:val="a0"/>
    <w:uiPriority w:val="99"/>
    <w:semiHidden/>
    <w:unhideWhenUsed/>
    <w:rsid w:val="006910A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910A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910A4"/>
    <w:rPr>
      <w:rFonts w:ascii="Calibri" w:eastAsia="Calibri" w:hAnsi="Calibri" w:cs="Calibri"/>
      <w:kern w:val="1"/>
      <w:sz w:val="20"/>
      <w:szCs w:val="20"/>
      <w:lang w:eastAsia="ar-SA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910A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910A4"/>
    <w:rPr>
      <w:rFonts w:ascii="Calibri" w:eastAsia="Calibri" w:hAnsi="Calibri" w:cs="Calibri"/>
      <w:b/>
      <w:bCs/>
      <w:kern w:val="1"/>
      <w:sz w:val="20"/>
      <w:szCs w:val="20"/>
      <w:lang w:eastAsia="ar-SA"/>
    </w:rPr>
  </w:style>
  <w:style w:type="paragraph" w:styleId="a9">
    <w:name w:val="Revision"/>
    <w:hidden/>
    <w:uiPriority w:val="99"/>
    <w:semiHidden/>
    <w:rsid w:val="006910A4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91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10A4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0FE53-4600-4B00-8829-906DA3F3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</TotalTime>
  <Pages>8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Редькин Дмитрий</dc:creator>
  <cp:lastModifiedBy>Олег Востриков</cp:lastModifiedBy>
  <cp:revision>10</cp:revision>
  <cp:lastPrinted>2016-02-17T03:43:00Z</cp:lastPrinted>
  <dcterms:created xsi:type="dcterms:W3CDTF">2016-02-05T02:44:00Z</dcterms:created>
  <dcterms:modified xsi:type="dcterms:W3CDTF">2016-02-17T05:04:00Z</dcterms:modified>
</cp:coreProperties>
</file>